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0821" w14:textId="25F34509" w:rsidR="0055467E" w:rsidRPr="009E399E" w:rsidRDefault="0055467E" w:rsidP="00554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6840"/>
          <w:tab w:val="left" w:pos="7200"/>
          <w:tab w:val="left" w:pos="7920"/>
          <w:tab w:val="left" w:pos="8640"/>
          <w:tab w:val="left" w:pos="9360"/>
          <w:tab w:val="left" w:pos="10080"/>
          <w:tab w:val="left" w:pos="12420"/>
        </w:tabs>
        <w:jc w:val="center"/>
        <w:rPr>
          <w:rFonts w:asciiTheme="majorHAnsi" w:hAnsiTheme="majorHAnsi"/>
          <w:b/>
          <w:sz w:val="28"/>
          <w:szCs w:val="28"/>
        </w:rPr>
      </w:pPr>
      <w:r w:rsidRPr="009E399E">
        <w:rPr>
          <w:rFonts w:asciiTheme="majorHAnsi" w:hAnsiTheme="majorHAnsi"/>
          <w:b/>
          <w:sz w:val="28"/>
          <w:szCs w:val="28"/>
        </w:rPr>
        <w:t xml:space="preserve">COOPERATIVA DE AHORRO Y CREDITO VEGABAJEÑA </w:t>
      </w:r>
    </w:p>
    <w:p w14:paraId="1DEDC570" w14:textId="77777777" w:rsidR="0055467E" w:rsidRPr="009E399E" w:rsidRDefault="0055467E" w:rsidP="0055467E">
      <w:pPr>
        <w:jc w:val="center"/>
        <w:rPr>
          <w:rFonts w:asciiTheme="majorHAnsi" w:hAnsiTheme="majorHAnsi"/>
          <w:b/>
          <w:sz w:val="28"/>
          <w:szCs w:val="28"/>
        </w:rPr>
      </w:pPr>
      <w:r w:rsidRPr="009E399E">
        <w:rPr>
          <w:rFonts w:asciiTheme="majorHAnsi" w:hAnsiTheme="majorHAnsi"/>
          <w:b/>
          <w:sz w:val="28"/>
          <w:szCs w:val="28"/>
        </w:rPr>
        <w:t>POLITICA DE CUMPLIMIENTO CON SAFE ACT</w:t>
      </w:r>
    </w:p>
    <w:p w14:paraId="27628425" w14:textId="77777777" w:rsidR="0055467E" w:rsidRDefault="0055467E" w:rsidP="00361567">
      <w:pPr>
        <w:spacing w:before="120"/>
        <w:jc w:val="both"/>
        <w:rPr>
          <w:rFonts w:ascii="Baskerville Old Face" w:eastAsia="SimSun" w:hAnsi="Baskerville Old Face"/>
          <w:b/>
          <w:caps/>
        </w:rPr>
      </w:pPr>
    </w:p>
    <w:p w14:paraId="04D555C6" w14:textId="5990E9B4" w:rsidR="009B28C6" w:rsidRPr="00361567" w:rsidRDefault="009B28C6" w:rsidP="00361567">
      <w:pPr>
        <w:spacing w:before="120"/>
        <w:jc w:val="both"/>
        <w:rPr>
          <w:rFonts w:ascii="Baskerville Old Face" w:eastAsia="SimSun" w:hAnsi="Baskerville Old Face"/>
          <w:lang w:val="es-ES"/>
        </w:rPr>
      </w:pPr>
      <w:r w:rsidRPr="00361567">
        <w:rPr>
          <w:rFonts w:ascii="Baskerville Old Face" w:eastAsia="SimSun" w:hAnsi="Baskerville Old Face"/>
          <w:b/>
          <w:caps/>
        </w:rPr>
        <w:t>Requisito General:</w:t>
      </w:r>
      <w:r w:rsidR="00361567" w:rsidRPr="00361567">
        <w:rPr>
          <w:rFonts w:ascii="Baskerville Old Face" w:eastAsia="SimSun" w:hAnsi="Baskerville Old Face"/>
          <w:b/>
          <w:caps/>
        </w:rPr>
        <w:t xml:space="preserve">  </w:t>
      </w:r>
      <w:r w:rsidR="00CB4424" w:rsidRPr="00361567">
        <w:rPr>
          <w:rFonts w:ascii="Baskerville Old Face" w:eastAsia="SimSun" w:hAnsi="Baskerville Old Face"/>
          <w:lang w:val="es-ES"/>
        </w:rPr>
        <w:t>Conforme</w:t>
      </w:r>
      <w:r w:rsidR="00E501B1">
        <w:rPr>
          <w:rFonts w:ascii="Baskerville Old Face" w:eastAsia="SimSun" w:hAnsi="Baskerville Old Face"/>
          <w:lang w:val="es-ES"/>
        </w:rPr>
        <w:t xml:space="preserve"> a</w:t>
      </w:r>
      <w:r w:rsidR="00CB4424" w:rsidRPr="00361567">
        <w:rPr>
          <w:rFonts w:ascii="Baskerville Old Face" w:eastAsia="SimSun" w:hAnsi="Baskerville Old Face"/>
          <w:lang w:val="es-ES"/>
        </w:rPr>
        <w:t xml:space="preserve"> las disposiciones de S.A.F.E., las Cooperativas de Ahorro y Crédito que ofrecen préstamos hipotecarios son</w:t>
      </w:r>
      <w:r w:rsidR="00361567" w:rsidRPr="00361567">
        <w:rPr>
          <w:rFonts w:ascii="Baskerville Old Face" w:eastAsia="SimSun" w:hAnsi="Baskerville Old Face"/>
          <w:lang w:val="es-ES"/>
        </w:rPr>
        <w:t xml:space="preserve"> </w:t>
      </w:r>
      <w:r w:rsidR="00CB4424" w:rsidRPr="00361567">
        <w:rPr>
          <w:rFonts w:ascii="Baskerville Old Face" w:eastAsia="SimSun" w:hAnsi="Baskerville Old Face"/>
          <w:lang w:val="es-ES"/>
        </w:rPr>
        <w:t xml:space="preserve">instituciones depositarias, por lo cual, sus empleados deben estar registrados a nivel federal como originadores </w:t>
      </w:r>
      <w:r w:rsidR="002D4E23" w:rsidRPr="00361567">
        <w:rPr>
          <w:rFonts w:ascii="Baskerville Old Face" w:eastAsia="SimSun" w:hAnsi="Baskerville Old Face"/>
          <w:lang w:val="es-ES"/>
        </w:rPr>
        <w:t>de préstamos</w:t>
      </w:r>
      <w:r w:rsidR="00CB4424" w:rsidRPr="00361567">
        <w:rPr>
          <w:rFonts w:ascii="Baskerville Old Face" w:eastAsia="SimSun" w:hAnsi="Baskerville Old Face"/>
          <w:lang w:val="es-ES"/>
        </w:rPr>
        <w:t xml:space="preserve"> hipotecarios y mantener un identificador único con el “</w:t>
      </w:r>
      <w:proofErr w:type="spellStart"/>
      <w:r w:rsidR="00CB4424" w:rsidRPr="00361567">
        <w:rPr>
          <w:rFonts w:ascii="Baskerville Old Face" w:eastAsia="SimSun" w:hAnsi="Baskerville Old Face"/>
          <w:lang w:val="es-ES"/>
        </w:rPr>
        <w:t>Nationwide</w:t>
      </w:r>
      <w:proofErr w:type="spellEnd"/>
      <w:r w:rsidR="00CB4424" w:rsidRPr="00361567">
        <w:rPr>
          <w:rFonts w:ascii="Baskerville Old Face" w:eastAsia="SimSun" w:hAnsi="Baskerville Old Face"/>
          <w:lang w:val="es-ES"/>
        </w:rPr>
        <w:t xml:space="preserve"> </w:t>
      </w:r>
      <w:proofErr w:type="spellStart"/>
      <w:r w:rsidR="00CB4424" w:rsidRPr="00361567">
        <w:rPr>
          <w:rFonts w:ascii="Baskerville Old Face" w:eastAsia="SimSun" w:hAnsi="Baskerville Old Face"/>
          <w:lang w:val="es-ES"/>
        </w:rPr>
        <w:t>Mortgage</w:t>
      </w:r>
      <w:proofErr w:type="spellEnd"/>
      <w:r w:rsidR="00CB4424" w:rsidRPr="00361567">
        <w:rPr>
          <w:rFonts w:ascii="Baskerville Old Face" w:eastAsia="SimSun" w:hAnsi="Baskerville Old Face"/>
          <w:lang w:val="es-ES"/>
        </w:rPr>
        <w:t xml:space="preserve"> </w:t>
      </w:r>
      <w:proofErr w:type="spellStart"/>
      <w:r w:rsidR="00CB4424" w:rsidRPr="00361567">
        <w:rPr>
          <w:rFonts w:ascii="Baskerville Old Face" w:eastAsia="SimSun" w:hAnsi="Baskerville Old Face"/>
          <w:lang w:val="es-ES"/>
        </w:rPr>
        <w:t>Licensing</w:t>
      </w:r>
      <w:proofErr w:type="spellEnd"/>
      <w:r w:rsidR="00CB4424" w:rsidRPr="00361567">
        <w:rPr>
          <w:rFonts w:ascii="Baskerville Old Face" w:eastAsia="SimSun" w:hAnsi="Baskerville Old Face"/>
          <w:lang w:val="es-ES"/>
        </w:rPr>
        <w:t xml:space="preserve"> </w:t>
      </w:r>
      <w:proofErr w:type="spellStart"/>
      <w:r w:rsidR="00CB4424" w:rsidRPr="00361567">
        <w:rPr>
          <w:rFonts w:ascii="Baskerville Old Face" w:eastAsia="SimSun" w:hAnsi="Baskerville Old Face"/>
          <w:lang w:val="es-ES"/>
        </w:rPr>
        <w:t>Syste</w:t>
      </w:r>
      <w:r w:rsidRPr="00361567">
        <w:rPr>
          <w:rFonts w:ascii="Baskerville Old Face" w:eastAsia="SimSun" w:hAnsi="Baskerville Old Face"/>
          <w:lang w:val="es-ES"/>
        </w:rPr>
        <w:t>m</w:t>
      </w:r>
      <w:proofErr w:type="spellEnd"/>
      <w:r w:rsidRPr="00361567">
        <w:rPr>
          <w:rFonts w:ascii="Baskerville Old Face" w:eastAsia="SimSun" w:hAnsi="Baskerville Old Face"/>
          <w:lang w:val="es-ES"/>
        </w:rPr>
        <w:t xml:space="preserve"> and </w:t>
      </w:r>
      <w:proofErr w:type="spellStart"/>
      <w:r w:rsidRPr="00361567">
        <w:rPr>
          <w:rFonts w:ascii="Baskerville Old Face" w:eastAsia="SimSun" w:hAnsi="Baskerville Old Face"/>
          <w:lang w:val="es-ES"/>
        </w:rPr>
        <w:t>Registry</w:t>
      </w:r>
      <w:proofErr w:type="spellEnd"/>
      <w:r w:rsidRPr="00361567">
        <w:rPr>
          <w:rFonts w:ascii="Baskerville Old Face" w:eastAsia="SimSun" w:hAnsi="Baskerville Old Face"/>
          <w:lang w:val="es-ES"/>
        </w:rPr>
        <w:t>” (</w:t>
      </w:r>
      <w:r w:rsidRPr="00361567">
        <w:rPr>
          <w:rFonts w:ascii="Baskerville Old Face" w:eastAsia="SimSun" w:hAnsi="Baskerville Old Face"/>
          <w:b/>
          <w:lang w:val="es-ES"/>
        </w:rPr>
        <w:t>NMLSR</w:t>
      </w:r>
      <w:r w:rsidRPr="00361567">
        <w:rPr>
          <w:rFonts w:ascii="Baskerville Old Face" w:eastAsia="SimSun" w:hAnsi="Baskerville Old Face"/>
          <w:lang w:val="es-ES"/>
        </w:rPr>
        <w:t>)</w:t>
      </w:r>
    </w:p>
    <w:p w14:paraId="07482E47" w14:textId="77777777" w:rsidR="00361567" w:rsidRPr="00361567" w:rsidRDefault="00361567" w:rsidP="00361567">
      <w:pPr>
        <w:jc w:val="both"/>
        <w:rPr>
          <w:rFonts w:ascii="Baskerville Old Face" w:eastAsia="SimSun" w:hAnsi="Baskerville Old Face"/>
          <w:lang w:val="es-ES"/>
        </w:rPr>
      </w:pPr>
      <w:r w:rsidRPr="00361567">
        <w:rPr>
          <w:rFonts w:ascii="Baskerville Old Face" w:eastAsia="SimSun" w:hAnsi="Baskerville Old Face"/>
          <w:lang w:val="es-ES"/>
        </w:rPr>
        <w:t xml:space="preserve"> </w:t>
      </w:r>
    </w:p>
    <w:p w14:paraId="772406BF" w14:textId="2F82DF28" w:rsidR="00CB4424" w:rsidRDefault="00726DF2" w:rsidP="00361567">
      <w:pPr>
        <w:jc w:val="both"/>
        <w:rPr>
          <w:rFonts w:ascii="Baskerville Old Face" w:eastAsia="SimSun" w:hAnsi="Baskerville Old Face"/>
        </w:rPr>
      </w:pPr>
      <w:r w:rsidRPr="00361567">
        <w:rPr>
          <w:rFonts w:ascii="Baskerville Old Face" w:eastAsia="SimSun" w:hAnsi="Baskerville Old Face"/>
          <w:b/>
          <w:caps/>
        </w:rPr>
        <w:t xml:space="preserve"> </w:t>
      </w:r>
      <w:r w:rsidR="00CB4424" w:rsidRPr="00361567">
        <w:rPr>
          <w:rFonts w:ascii="Baskerville Old Face" w:eastAsia="SimSun" w:hAnsi="Baskerville Old Face"/>
          <w:b/>
          <w:caps/>
        </w:rPr>
        <w:t>Base Legal:</w:t>
      </w:r>
      <w:r w:rsidR="00361567" w:rsidRPr="00361567">
        <w:rPr>
          <w:rFonts w:ascii="Baskerville Old Face" w:eastAsia="SimSun" w:hAnsi="Baskerville Old Face"/>
          <w:b/>
          <w:caps/>
        </w:rPr>
        <w:t xml:space="preserve"> </w:t>
      </w:r>
      <w:r w:rsidR="000763EC" w:rsidRPr="00361567">
        <w:rPr>
          <w:rFonts w:ascii="Baskerville Old Face" w:eastAsia="SimSun" w:hAnsi="Baskerville Old Face"/>
        </w:rPr>
        <w:t xml:space="preserve"> </w:t>
      </w:r>
      <w:r w:rsidRPr="00361567">
        <w:rPr>
          <w:rFonts w:ascii="Baskerville Old Face" w:eastAsia="SimSun" w:hAnsi="Baskerville Old Face"/>
        </w:rPr>
        <w:t xml:space="preserve"> </w:t>
      </w:r>
      <w:r w:rsidR="00CB4424" w:rsidRPr="00361567">
        <w:rPr>
          <w:rFonts w:ascii="Baskerville Old Face" w:eastAsia="SimSun" w:hAnsi="Baskerville Old Face"/>
        </w:rPr>
        <w:t xml:space="preserve">Esta política se adopta para cumplir con los requerimientos de la “Secure and </w:t>
      </w:r>
      <w:proofErr w:type="spellStart"/>
      <w:r w:rsidR="00CB4424" w:rsidRPr="00361567">
        <w:rPr>
          <w:rFonts w:ascii="Baskerville Old Face" w:eastAsia="SimSun" w:hAnsi="Baskerville Old Face"/>
        </w:rPr>
        <w:t>Fair</w:t>
      </w:r>
      <w:proofErr w:type="spellEnd"/>
      <w:r w:rsidR="00CB4424" w:rsidRPr="00361567">
        <w:rPr>
          <w:rFonts w:ascii="Baskerville Old Face" w:eastAsia="SimSun" w:hAnsi="Baskerville Old Face"/>
        </w:rPr>
        <w:t xml:space="preserve"> </w:t>
      </w:r>
      <w:proofErr w:type="spellStart"/>
      <w:r w:rsidR="00CB4424" w:rsidRPr="00361567">
        <w:rPr>
          <w:rFonts w:ascii="Baskerville Old Face" w:eastAsia="SimSun" w:hAnsi="Baskerville Old Face"/>
        </w:rPr>
        <w:t>Enforcement</w:t>
      </w:r>
      <w:proofErr w:type="spellEnd"/>
      <w:r w:rsidR="00CB4424" w:rsidRPr="00361567">
        <w:rPr>
          <w:rFonts w:ascii="Baskerville Old Face" w:eastAsia="SimSun" w:hAnsi="Baskerville Old Face"/>
        </w:rPr>
        <w:t xml:space="preserve"> </w:t>
      </w:r>
      <w:proofErr w:type="spellStart"/>
      <w:r w:rsidR="00CB4424" w:rsidRPr="00361567">
        <w:rPr>
          <w:rFonts w:ascii="Baskerville Old Face" w:eastAsia="SimSun" w:hAnsi="Baskerville Old Face"/>
        </w:rPr>
        <w:t>for</w:t>
      </w:r>
      <w:proofErr w:type="spellEnd"/>
      <w:r w:rsidR="00CB4424" w:rsidRPr="00361567">
        <w:rPr>
          <w:rFonts w:ascii="Baskerville Old Face" w:eastAsia="SimSun" w:hAnsi="Baskerville Old Face"/>
        </w:rPr>
        <w:t xml:space="preserve"> </w:t>
      </w:r>
      <w:proofErr w:type="spellStart"/>
      <w:r w:rsidR="00CB4424" w:rsidRPr="00361567">
        <w:rPr>
          <w:rFonts w:ascii="Baskerville Old Face" w:eastAsia="SimSun" w:hAnsi="Baskerville Old Face"/>
        </w:rPr>
        <w:t>Mortgage</w:t>
      </w:r>
      <w:proofErr w:type="spellEnd"/>
      <w:r w:rsidR="00CB4424" w:rsidRPr="00361567">
        <w:rPr>
          <w:rFonts w:ascii="Baskerville Old Face" w:eastAsia="SimSun" w:hAnsi="Baskerville Old Face"/>
        </w:rPr>
        <w:t xml:space="preserve"> </w:t>
      </w:r>
      <w:proofErr w:type="spellStart"/>
      <w:proofErr w:type="gramStart"/>
      <w:r w:rsidR="00CB4424" w:rsidRPr="00361567">
        <w:rPr>
          <w:rFonts w:ascii="Baskerville Old Face" w:eastAsia="SimSun" w:hAnsi="Baskerville Old Face"/>
        </w:rPr>
        <w:t>Licensing</w:t>
      </w:r>
      <w:proofErr w:type="spellEnd"/>
      <w:r w:rsidR="00CB4424" w:rsidRPr="00361567">
        <w:rPr>
          <w:rFonts w:ascii="Baskerville Old Face" w:eastAsia="SimSun" w:hAnsi="Baskerville Old Face"/>
        </w:rPr>
        <w:t xml:space="preserve"> </w:t>
      </w:r>
      <w:r w:rsidR="000763EC" w:rsidRPr="00361567">
        <w:rPr>
          <w:rFonts w:ascii="Baskerville Old Face" w:eastAsia="SimSun" w:hAnsi="Baskerville Old Face"/>
        </w:rPr>
        <w:t xml:space="preserve"> </w:t>
      </w:r>
      <w:proofErr w:type="spellStart"/>
      <w:r w:rsidR="00CB4424" w:rsidRPr="00361567">
        <w:rPr>
          <w:rFonts w:ascii="Baskerville Old Face" w:eastAsia="SimSun" w:hAnsi="Baskerville Old Face"/>
        </w:rPr>
        <w:t>Act</w:t>
      </w:r>
      <w:proofErr w:type="spellEnd"/>
      <w:r w:rsidR="00CB4424" w:rsidRPr="00361567">
        <w:rPr>
          <w:rFonts w:ascii="Baskerville Old Face" w:eastAsia="SimSun" w:hAnsi="Baskerville Old Face"/>
        </w:rPr>
        <w:t xml:space="preserve">” </w:t>
      </w:r>
      <w:r w:rsidRPr="00361567">
        <w:rPr>
          <w:rFonts w:ascii="Baskerville Old Face" w:eastAsia="SimSun" w:hAnsi="Baskerville Old Face"/>
        </w:rPr>
        <w:t xml:space="preserve"> </w:t>
      </w:r>
      <w:r w:rsidR="00CB4424" w:rsidRPr="00361567">
        <w:rPr>
          <w:rFonts w:ascii="Baskerville Old Face" w:eastAsia="SimSun" w:hAnsi="Baskerville Old Face"/>
        </w:rPr>
        <w:t>conocida</w:t>
      </w:r>
      <w:proofErr w:type="gramEnd"/>
      <w:r w:rsidR="00CB4424" w:rsidRPr="00361567">
        <w:rPr>
          <w:rFonts w:ascii="Baskerville Old Face" w:eastAsia="SimSun" w:hAnsi="Baskerville Old Face"/>
        </w:rPr>
        <w:t xml:space="preserve"> por sus siglas como </w:t>
      </w:r>
      <w:r w:rsidR="00CB4424" w:rsidRPr="00361567">
        <w:rPr>
          <w:rFonts w:ascii="Baskerville Old Face" w:eastAsia="SimSun" w:hAnsi="Baskerville Old Face"/>
          <w:b/>
        </w:rPr>
        <w:t xml:space="preserve">SAFE </w:t>
      </w:r>
      <w:proofErr w:type="spellStart"/>
      <w:r w:rsidR="00CB4424" w:rsidRPr="00361567">
        <w:rPr>
          <w:rFonts w:ascii="Baskerville Old Face" w:eastAsia="SimSun" w:hAnsi="Baskerville Old Face"/>
          <w:b/>
        </w:rPr>
        <w:t>Act</w:t>
      </w:r>
      <w:proofErr w:type="spellEnd"/>
      <w:r w:rsidR="00CB4424" w:rsidRPr="00361567">
        <w:rPr>
          <w:rFonts w:ascii="Baskerville Old Face" w:eastAsia="SimSun" w:hAnsi="Baskerville Old Face"/>
        </w:rPr>
        <w:t>, 12 CFR 365.</w:t>
      </w:r>
    </w:p>
    <w:p w14:paraId="4AB7C2B8" w14:textId="77777777" w:rsidR="0055467E" w:rsidRPr="00361567" w:rsidRDefault="0055467E" w:rsidP="00361567">
      <w:pPr>
        <w:jc w:val="both"/>
        <w:rPr>
          <w:rFonts w:ascii="Baskerville Old Face" w:eastAsia="SimSun" w:hAnsi="Baskerville Old Face"/>
        </w:rPr>
      </w:pPr>
    </w:p>
    <w:p w14:paraId="15EC7D3B" w14:textId="07947A63" w:rsidR="00361567" w:rsidRPr="008F77C1" w:rsidRDefault="00361567" w:rsidP="009E399E">
      <w:pPr>
        <w:jc w:val="center"/>
        <w:rPr>
          <w:rFonts w:asciiTheme="minorHAnsi" w:eastAsia="SimSun" w:hAnsiTheme="minorHAnsi"/>
          <w:b/>
          <w:color w:val="E36C0A" w:themeColor="accent6" w:themeShade="BF"/>
          <w:sz w:val="36"/>
          <w:szCs w:val="36"/>
        </w:rPr>
      </w:pPr>
      <w:r w:rsidRPr="008F77C1">
        <w:rPr>
          <w:rFonts w:ascii="Baskerville Old Face" w:eastAsia="SimSun" w:hAnsi="Baskerville Old Face"/>
          <w:b/>
          <w:color w:val="E36C0A" w:themeColor="accent6" w:themeShade="BF"/>
          <w:sz w:val="36"/>
          <w:szCs w:val="36"/>
        </w:rPr>
        <w:t xml:space="preserve">Originadores de Préstamos Hipotecarios </w:t>
      </w:r>
      <w:r w:rsidR="009E399E" w:rsidRPr="008F77C1">
        <w:rPr>
          <w:rFonts w:ascii="Baskerville Old Face" w:eastAsia="SimSun" w:hAnsi="Baskerville Old Face"/>
          <w:b/>
          <w:color w:val="E36C0A" w:themeColor="accent6" w:themeShade="BF"/>
          <w:sz w:val="36"/>
          <w:szCs w:val="36"/>
        </w:rPr>
        <w:t>A</w:t>
      </w:r>
      <w:r w:rsidRPr="008F77C1">
        <w:rPr>
          <w:rFonts w:ascii="Baskerville Old Face" w:eastAsia="SimSun" w:hAnsi="Baskerville Old Face"/>
          <w:b/>
          <w:color w:val="E36C0A" w:themeColor="accent6" w:themeShade="BF"/>
          <w:sz w:val="36"/>
          <w:szCs w:val="36"/>
        </w:rPr>
        <w:t>utorizados</w:t>
      </w:r>
    </w:p>
    <w:tbl>
      <w:tblPr>
        <w:tblStyle w:val="TableGrid"/>
        <w:tblpPr w:leftFromText="180" w:rightFromText="180" w:vertAnchor="text" w:horzAnchor="margin" w:tblpXSpec="center" w:tblpY="73"/>
        <w:tblW w:w="0" w:type="auto"/>
        <w:tblLook w:val="04A0" w:firstRow="1" w:lastRow="0" w:firstColumn="1" w:lastColumn="0" w:noHBand="0" w:noVBand="1"/>
      </w:tblPr>
      <w:tblGrid>
        <w:gridCol w:w="8100"/>
      </w:tblGrid>
      <w:tr w:rsidR="00E22BAA" w14:paraId="03685442" w14:textId="77777777" w:rsidTr="008F77C1">
        <w:tc>
          <w:tcPr>
            <w:tcW w:w="8100" w:type="dxa"/>
            <w:shd w:val="clear" w:color="auto" w:fill="F2F2F2" w:themeFill="background1" w:themeFillShade="F2"/>
          </w:tcPr>
          <w:p w14:paraId="112A9919" w14:textId="77777777" w:rsidR="008F77C1" w:rsidRDefault="008F77C1" w:rsidP="008F77C1">
            <w:pPr>
              <w:jc w:val="center"/>
              <w:rPr>
                <w:rFonts w:asciiTheme="minorHAnsi" w:hAnsiTheme="minorHAnsi" w:cs="Arial"/>
                <w:b/>
                <w:bCs/>
                <w:color w:val="1F497D" w:themeColor="text2"/>
                <w:sz w:val="28"/>
                <w:szCs w:val="28"/>
              </w:rPr>
            </w:pPr>
          </w:p>
          <w:p w14:paraId="16AE169D" w14:textId="6D312378" w:rsidR="00E22BAA" w:rsidRDefault="00E22BAA" w:rsidP="008F77C1">
            <w:pPr>
              <w:jc w:val="center"/>
              <w:rPr>
                <w:rFonts w:asciiTheme="minorHAnsi" w:hAnsiTheme="minorHAnsi" w:cs="Arial"/>
                <w:b/>
                <w:bCs/>
                <w:color w:val="1F497D" w:themeColor="text2"/>
                <w:sz w:val="28"/>
                <w:szCs w:val="28"/>
              </w:rPr>
            </w:pPr>
            <w:r w:rsidRPr="008F77C1">
              <w:rPr>
                <w:rFonts w:asciiTheme="minorHAnsi" w:hAnsiTheme="minorHAnsi" w:cs="Arial"/>
                <w:b/>
                <w:bCs/>
                <w:color w:val="1F497D" w:themeColor="text2"/>
                <w:sz w:val="28"/>
                <w:szCs w:val="28"/>
              </w:rPr>
              <w:t>COOPERATIVA DE AHORRO Y CREDITO VEGABAJEÑA</w:t>
            </w:r>
          </w:p>
          <w:p w14:paraId="2FA649E5" w14:textId="77777777" w:rsidR="00E22BAA" w:rsidRPr="008F77C1" w:rsidRDefault="00E22BAA" w:rsidP="008F77C1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F77C1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NMLS ID: 774871 </w:t>
            </w:r>
          </w:p>
          <w:p w14:paraId="196DAD43" w14:textId="50B7F350" w:rsidR="00E22BAA" w:rsidRPr="008F77C1" w:rsidRDefault="00E22BAA" w:rsidP="008F77C1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F77C1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LOCALIDAD: CALLE BALDORIOTY </w:t>
            </w:r>
            <w:proofErr w:type="gramStart"/>
            <w:r w:rsidRPr="008F77C1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FINAL,  VEGA</w:t>
            </w:r>
            <w:proofErr w:type="gramEnd"/>
            <w:r w:rsidRPr="008F77C1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BAJA PR 00693</w:t>
            </w:r>
          </w:p>
          <w:p w14:paraId="488B6DD3" w14:textId="77777777" w:rsidR="00E22BAA" w:rsidRDefault="00E22BAA" w:rsidP="008F77C1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F77C1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TEL: 787-855-3442 EXT 4010, 5002,4000 Y 4015</w:t>
            </w:r>
          </w:p>
          <w:p w14:paraId="55B45D33" w14:textId="2A401A24" w:rsidR="008F77C1" w:rsidRPr="008F77C1" w:rsidRDefault="008F77C1" w:rsidP="008F77C1">
            <w:pPr>
              <w:rPr>
                <w:rFonts w:asciiTheme="minorHAnsi" w:hAnsiTheme="minorHAnsi" w:cs="Arial"/>
                <w:b/>
                <w:bCs/>
                <w:color w:val="1F497D" w:themeColor="text2"/>
                <w:sz w:val="28"/>
                <w:szCs w:val="28"/>
              </w:rPr>
            </w:pPr>
          </w:p>
        </w:tc>
      </w:tr>
    </w:tbl>
    <w:p w14:paraId="2C8CEDEB" w14:textId="6D0C280F" w:rsidR="00361567" w:rsidRPr="007745B2" w:rsidRDefault="00361567" w:rsidP="00CB4424">
      <w:pPr>
        <w:rPr>
          <w:rFonts w:asciiTheme="minorHAnsi" w:hAnsiTheme="minorHAnsi" w:cs="Arial"/>
          <w:b/>
          <w:sz w:val="28"/>
          <w:szCs w:val="28"/>
        </w:rPr>
      </w:pPr>
    </w:p>
    <w:tbl>
      <w:tblPr>
        <w:tblW w:w="8100" w:type="dxa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3240"/>
      </w:tblGrid>
      <w:tr w:rsidR="009653D5" w:rsidRPr="009653D5" w14:paraId="1873674D" w14:textId="77777777" w:rsidTr="008F77C1">
        <w:trPr>
          <w:trHeight w:val="620"/>
        </w:trPr>
        <w:tc>
          <w:tcPr>
            <w:tcW w:w="4860" w:type="dxa"/>
            <w:shd w:val="clear" w:color="auto" w:fill="F2F2F2" w:themeFill="background1" w:themeFillShade="F2"/>
          </w:tcPr>
          <w:p w14:paraId="4C674023" w14:textId="77777777" w:rsidR="009653D5" w:rsidRPr="009653D5" w:rsidRDefault="009653D5" w:rsidP="009653D5">
            <w:pPr>
              <w:spacing w:before="100" w:beforeAutospacing="1" w:after="160" w:afterAutospacing="1" w:line="259" w:lineRule="auto"/>
              <w:rPr>
                <w:b/>
                <w:color w:val="1F497D" w:themeColor="text2"/>
                <w:sz w:val="28"/>
                <w:szCs w:val="28"/>
                <w:lang w:eastAsia="es-PR"/>
              </w:rPr>
            </w:pPr>
            <w:r w:rsidRPr="009653D5">
              <w:rPr>
                <w:b/>
                <w:color w:val="1F497D" w:themeColor="text2"/>
                <w:sz w:val="28"/>
                <w:szCs w:val="28"/>
                <w:lang w:eastAsia="es-PR"/>
              </w:rPr>
              <w:t>NOMBRE ORIGINADOR (A)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30145E53" w14:textId="77777777" w:rsidR="009653D5" w:rsidRPr="009653D5" w:rsidRDefault="009653D5" w:rsidP="009653D5">
            <w:pPr>
              <w:spacing w:before="100" w:beforeAutospacing="1" w:after="160" w:afterAutospacing="1" w:line="259" w:lineRule="auto"/>
              <w:jc w:val="center"/>
              <w:rPr>
                <w:b/>
                <w:color w:val="1F497D" w:themeColor="text2"/>
                <w:sz w:val="28"/>
                <w:szCs w:val="28"/>
                <w:lang w:eastAsia="es-PR"/>
              </w:rPr>
            </w:pPr>
            <w:r w:rsidRPr="009653D5">
              <w:rPr>
                <w:b/>
                <w:color w:val="1F497D" w:themeColor="text2"/>
                <w:sz w:val="28"/>
                <w:szCs w:val="28"/>
                <w:lang w:eastAsia="es-PR"/>
              </w:rPr>
              <w:t>NUMERO REGISTRO NMLS</w:t>
            </w:r>
          </w:p>
        </w:tc>
      </w:tr>
      <w:tr w:rsidR="009653D5" w:rsidRPr="009653D5" w14:paraId="14C6DA02" w14:textId="77777777" w:rsidTr="008F77C1">
        <w:trPr>
          <w:trHeight w:val="773"/>
        </w:trPr>
        <w:tc>
          <w:tcPr>
            <w:tcW w:w="4860" w:type="dxa"/>
          </w:tcPr>
          <w:p w14:paraId="1A19D615" w14:textId="77777777" w:rsidR="009653D5" w:rsidRPr="009653D5" w:rsidRDefault="009653D5" w:rsidP="009653D5">
            <w:pPr>
              <w:numPr>
                <w:ilvl w:val="0"/>
                <w:numId w:val="1"/>
              </w:numPr>
              <w:spacing w:before="100" w:beforeAutospacing="1" w:after="160" w:afterAutospacing="1" w:line="259" w:lineRule="auto"/>
              <w:contextualSpacing/>
              <w:rPr>
                <w:b/>
                <w:color w:val="000000"/>
                <w:sz w:val="28"/>
                <w:szCs w:val="28"/>
                <w:lang w:eastAsia="es-PR"/>
              </w:rPr>
            </w:pPr>
            <w:r w:rsidRPr="009653D5">
              <w:rPr>
                <w:b/>
                <w:color w:val="000000"/>
                <w:sz w:val="28"/>
                <w:szCs w:val="28"/>
                <w:lang w:eastAsia="es-PR"/>
              </w:rPr>
              <w:t>Denisse Arroyo Maldonado</w:t>
            </w:r>
          </w:p>
          <w:p w14:paraId="389D0CF3" w14:textId="77777777" w:rsidR="009653D5" w:rsidRDefault="009653D5" w:rsidP="009653D5">
            <w:pPr>
              <w:spacing w:before="100" w:beforeAutospacing="1" w:after="160" w:afterAutospacing="1" w:line="259" w:lineRule="auto"/>
              <w:ind w:left="360"/>
              <w:contextualSpacing/>
              <w:rPr>
                <w:b/>
                <w:color w:val="000000"/>
                <w:sz w:val="28"/>
                <w:szCs w:val="28"/>
                <w:lang w:eastAsia="es-PR"/>
              </w:rPr>
            </w:pPr>
            <w:hyperlink r:id="rId7" w:history="1">
              <w:r w:rsidRPr="009653D5">
                <w:rPr>
                  <w:b/>
                  <w:color w:val="0563C1"/>
                  <w:sz w:val="28"/>
                  <w:szCs w:val="28"/>
                  <w:u w:val="single"/>
                  <w:lang w:eastAsia="es-PR"/>
                </w:rPr>
                <w:t>darroyo@vbcoop.com</w:t>
              </w:r>
            </w:hyperlink>
          </w:p>
          <w:p w14:paraId="4EC005FC" w14:textId="1289D248" w:rsidR="00E22BAA" w:rsidRPr="009653D5" w:rsidRDefault="00E22BAA" w:rsidP="009653D5">
            <w:pPr>
              <w:spacing w:before="100" w:beforeAutospacing="1" w:after="160" w:afterAutospacing="1" w:line="259" w:lineRule="auto"/>
              <w:ind w:left="360"/>
              <w:contextualSpacing/>
              <w:rPr>
                <w:b/>
                <w:color w:val="000000"/>
                <w:sz w:val="28"/>
                <w:szCs w:val="28"/>
                <w:lang w:eastAsia="es-PR"/>
              </w:rPr>
            </w:pPr>
            <w:r>
              <w:rPr>
                <w:b/>
                <w:color w:val="000000"/>
                <w:sz w:val="28"/>
                <w:szCs w:val="28"/>
                <w:lang w:eastAsia="es-PR"/>
              </w:rPr>
              <w:t>787-855-3442- EXT 4000</w:t>
            </w:r>
          </w:p>
        </w:tc>
        <w:tc>
          <w:tcPr>
            <w:tcW w:w="3240" w:type="dxa"/>
          </w:tcPr>
          <w:p w14:paraId="56805843" w14:textId="34D96281" w:rsidR="009653D5" w:rsidRPr="009653D5" w:rsidRDefault="009653D5" w:rsidP="009653D5">
            <w:pPr>
              <w:spacing w:before="100" w:beforeAutospacing="1" w:after="160" w:afterAutospacing="1" w:line="259" w:lineRule="auto"/>
              <w:jc w:val="center"/>
              <w:rPr>
                <w:b/>
                <w:color w:val="000000"/>
                <w:sz w:val="28"/>
                <w:szCs w:val="28"/>
                <w:lang w:eastAsia="es-PR"/>
              </w:rPr>
            </w:pPr>
            <w:r w:rsidRPr="009653D5">
              <w:rPr>
                <w:b/>
                <w:color w:val="000000"/>
                <w:sz w:val="28"/>
                <w:szCs w:val="28"/>
                <w:lang w:eastAsia="es-PR"/>
              </w:rPr>
              <w:t>2132283</w:t>
            </w:r>
          </w:p>
        </w:tc>
      </w:tr>
      <w:tr w:rsidR="009653D5" w:rsidRPr="009653D5" w14:paraId="44D5FF4E" w14:textId="77777777" w:rsidTr="008F77C1">
        <w:trPr>
          <w:trHeight w:val="648"/>
        </w:trPr>
        <w:tc>
          <w:tcPr>
            <w:tcW w:w="4860" w:type="dxa"/>
          </w:tcPr>
          <w:p w14:paraId="2BA64623" w14:textId="77777777" w:rsidR="009653D5" w:rsidRPr="009653D5" w:rsidRDefault="009653D5" w:rsidP="009653D5">
            <w:pPr>
              <w:numPr>
                <w:ilvl w:val="0"/>
                <w:numId w:val="1"/>
              </w:numPr>
              <w:spacing w:before="100" w:beforeAutospacing="1" w:after="160" w:afterAutospacing="1" w:line="259" w:lineRule="auto"/>
              <w:contextualSpacing/>
              <w:rPr>
                <w:b/>
                <w:color w:val="000000"/>
                <w:sz w:val="28"/>
                <w:szCs w:val="28"/>
                <w:lang w:eastAsia="es-PR"/>
              </w:rPr>
            </w:pPr>
            <w:r w:rsidRPr="009653D5">
              <w:rPr>
                <w:b/>
                <w:color w:val="000000"/>
                <w:sz w:val="28"/>
                <w:szCs w:val="28"/>
                <w:lang w:eastAsia="es-PR"/>
              </w:rPr>
              <w:t>Yadira Liz Feliciano Rodríguez</w:t>
            </w:r>
          </w:p>
          <w:p w14:paraId="69F754FB" w14:textId="77777777" w:rsidR="009653D5" w:rsidRDefault="009653D5" w:rsidP="009653D5">
            <w:pPr>
              <w:spacing w:before="100" w:beforeAutospacing="1" w:after="160" w:afterAutospacing="1" w:line="259" w:lineRule="auto"/>
              <w:ind w:left="360"/>
              <w:contextualSpacing/>
              <w:rPr>
                <w:b/>
                <w:color w:val="000000"/>
                <w:sz w:val="28"/>
                <w:szCs w:val="28"/>
                <w:lang w:eastAsia="es-PR"/>
              </w:rPr>
            </w:pPr>
            <w:hyperlink r:id="rId8" w:history="1">
              <w:r w:rsidRPr="009653D5">
                <w:rPr>
                  <w:b/>
                  <w:color w:val="0563C1"/>
                  <w:sz w:val="28"/>
                  <w:szCs w:val="28"/>
                  <w:u w:val="single"/>
                  <w:lang w:eastAsia="es-PR"/>
                </w:rPr>
                <w:t>yfeliciano@vbcoop.com</w:t>
              </w:r>
            </w:hyperlink>
          </w:p>
          <w:p w14:paraId="5C58629E" w14:textId="29C3C3A9" w:rsidR="00E22BAA" w:rsidRPr="009653D5" w:rsidRDefault="00E22BAA" w:rsidP="009653D5">
            <w:pPr>
              <w:spacing w:before="100" w:beforeAutospacing="1" w:after="160" w:afterAutospacing="1" w:line="259" w:lineRule="auto"/>
              <w:ind w:left="360"/>
              <w:contextualSpacing/>
              <w:rPr>
                <w:b/>
                <w:color w:val="000000"/>
                <w:sz w:val="28"/>
                <w:szCs w:val="28"/>
                <w:lang w:eastAsia="es-PR"/>
              </w:rPr>
            </w:pPr>
            <w:r>
              <w:rPr>
                <w:b/>
                <w:color w:val="000000"/>
                <w:sz w:val="28"/>
                <w:szCs w:val="28"/>
                <w:lang w:eastAsia="es-PR"/>
              </w:rPr>
              <w:t>787-855-3442 – EXT 4010</w:t>
            </w:r>
          </w:p>
        </w:tc>
        <w:tc>
          <w:tcPr>
            <w:tcW w:w="3240" w:type="dxa"/>
          </w:tcPr>
          <w:p w14:paraId="45CC2C8D" w14:textId="77777777" w:rsidR="009653D5" w:rsidRPr="009653D5" w:rsidRDefault="009653D5" w:rsidP="009653D5">
            <w:pPr>
              <w:spacing w:before="100" w:beforeAutospacing="1" w:after="160" w:afterAutospacing="1" w:line="259" w:lineRule="auto"/>
              <w:jc w:val="center"/>
              <w:rPr>
                <w:b/>
                <w:color w:val="000000"/>
                <w:sz w:val="28"/>
                <w:szCs w:val="28"/>
                <w:lang w:eastAsia="es-PR"/>
              </w:rPr>
            </w:pPr>
            <w:r w:rsidRPr="009653D5">
              <w:rPr>
                <w:b/>
                <w:color w:val="000000"/>
                <w:sz w:val="28"/>
                <w:szCs w:val="28"/>
                <w:lang w:eastAsia="es-PR"/>
              </w:rPr>
              <w:t>2241507</w:t>
            </w:r>
          </w:p>
        </w:tc>
      </w:tr>
      <w:tr w:rsidR="009653D5" w:rsidRPr="009653D5" w14:paraId="51B22E86" w14:textId="77777777" w:rsidTr="008F77C1">
        <w:trPr>
          <w:trHeight w:val="648"/>
        </w:trPr>
        <w:tc>
          <w:tcPr>
            <w:tcW w:w="4860" w:type="dxa"/>
          </w:tcPr>
          <w:p w14:paraId="60B02442" w14:textId="77777777" w:rsidR="009653D5" w:rsidRPr="009653D5" w:rsidRDefault="009653D5" w:rsidP="009653D5">
            <w:pPr>
              <w:numPr>
                <w:ilvl w:val="0"/>
                <w:numId w:val="1"/>
              </w:numPr>
              <w:spacing w:before="100" w:beforeAutospacing="1" w:after="160" w:afterAutospacing="1" w:line="259" w:lineRule="auto"/>
              <w:contextualSpacing/>
              <w:rPr>
                <w:b/>
                <w:color w:val="000000"/>
                <w:sz w:val="28"/>
                <w:szCs w:val="28"/>
                <w:lang w:eastAsia="es-PR"/>
              </w:rPr>
            </w:pPr>
            <w:r w:rsidRPr="009653D5">
              <w:rPr>
                <w:b/>
                <w:color w:val="000000"/>
                <w:sz w:val="28"/>
                <w:szCs w:val="28"/>
                <w:lang w:eastAsia="es-PR"/>
              </w:rPr>
              <w:t>Angel Cabrera Rivera</w:t>
            </w:r>
          </w:p>
          <w:p w14:paraId="6E95A2C3" w14:textId="77777777" w:rsidR="009653D5" w:rsidRDefault="009653D5" w:rsidP="009653D5">
            <w:pPr>
              <w:spacing w:before="100" w:beforeAutospacing="1" w:after="160" w:afterAutospacing="1" w:line="259" w:lineRule="auto"/>
              <w:ind w:left="360"/>
              <w:contextualSpacing/>
              <w:rPr>
                <w:b/>
                <w:color w:val="000000"/>
                <w:sz w:val="28"/>
                <w:szCs w:val="28"/>
                <w:lang w:eastAsia="es-PR"/>
              </w:rPr>
            </w:pPr>
            <w:hyperlink r:id="rId9" w:history="1">
              <w:r w:rsidRPr="009653D5">
                <w:rPr>
                  <w:b/>
                  <w:color w:val="0563C1"/>
                  <w:sz w:val="28"/>
                  <w:szCs w:val="28"/>
                  <w:u w:val="single"/>
                  <w:lang w:eastAsia="es-PR"/>
                </w:rPr>
                <w:t>acabrera@vbcoop.com</w:t>
              </w:r>
            </w:hyperlink>
          </w:p>
          <w:p w14:paraId="245A0538" w14:textId="0825CFF7" w:rsidR="00E22BAA" w:rsidRPr="009653D5" w:rsidRDefault="00E22BAA" w:rsidP="009653D5">
            <w:pPr>
              <w:spacing w:before="100" w:beforeAutospacing="1" w:after="160" w:afterAutospacing="1" w:line="259" w:lineRule="auto"/>
              <w:ind w:left="360"/>
              <w:contextualSpacing/>
              <w:rPr>
                <w:b/>
                <w:color w:val="000000"/>
                <w:sz w:val="28"/>
                <w:szCs w:val="28"/>
                <w:lang w:eastAsia="es-PR"/>
              </w:rPr>
            </w:pPr>
            <w:r>
              <w:rPr>
                <w:b/>
                <w:color w:val="000000"/>
                <w:sz w:val="28"/>
                <w:szCs w:val="28"/>
                <w:lang w:eastAsia="es-PR"/>
              </w:rPr>
              <w:t>787-855-3442 - EXT 4007</w:t>
            </w:r>
          </w:p>
        </w:tc>
        <w:tc>
          <w:tcPr>
            <w:tcW w:w="3240" w:type="dxa"/>
          </w:tcPr>
          <w:p w14:paraId="2C86FD5A" w14:textId="77777777" w:rsidR="009653D5" w:rsidRPr="009653D5" w:rsidRDefault="009653D5" w:rsidP="009653D5">
            <w:pPr>
              <w:spacing w:before="100" w:beforeAutospacing="1" w:after="160" w:afterAutospacing="1" w:line="259" w:lineRule="auto"/>
              <w:jc w:val="center"/>
              <w:rPr>
                <w:b/>
                <w:color w:val="000000"/>
                <w:sz w:val="28"/>
                <w:szCs w:val="28"/>
                <w:lang w:eastAsia="es-PR"/>
              </w:rPr>
            </w:pPr>
            <w:r w:rsidRPr="009653D5">
              <w:rPr>
                <w:b/>
                <w:color w:val="000000"/>
                <w:sz w:val="28"/>
                <w:szCs w:val="28"/>
                <w:lang w:eastAsia="es-PR"/>
              </w:rPr>
              <w:t>2746697</w:t>
            </w:r>
          </w:p>
        </w:tc>
      </w:tr>
      <w:tr w:rsidR="009653D5" w:rsidRPr="009653D5" w14:paraId="2B7A0F14" w14:textId="77777777" w:rsidTr="008F77C1">
        <w:trPr>
          <w:trHeight w:val="648"/>
        </w:trPr>
        <w:tc>
          <w:tcPr>
            <w:tcW w:w="4860" w:type="dxa"/>
          </w:tcPr>
          <w:p w14:paraId="3BAFB9CD" w14:textId="77777777" w:rsidR="009653D5" w:rsidRPr="009653D5" w:rsidRDefault="009653D5" w:rsidP="009653D5">
            <w:pPr>
              <w:numPr>
                <w:ilvl w:val="0"/>
                <w:numId w:val="1"/>
              </w:numPr>
              <w:spacing w:before="100" w:beforeAutospacing="1" w:after="160" w:afterAutospacing="1" w:line="259" w:lineRule="auto"/>
              <w:contextualSpacing/>
              <w:rPr>
                <w:b/>
                <w:color w:val="000000"/>
                <w:sz w:val="28"/>
                <w:szCs w:val="28"/>
                <w:lang w:eastAsia="es-PR"/>
              </w:rPr>
            </w:pPr>
            <w:r w:rsidRPr="009653D5">
              <w:rPr>
                <w:b/>
                <w:color w:val="000000"/>
                <w:sz w:val="28"/>
                <w:szCs w:val="28"/>
                <w:lang w:eastAsia="es-PR"/>
              </w:rPr>
              <w:t>Martin Santos García</w:t>
            </w:r>
          </w:p>
          <w:p w14:paraId="775FC096" w14:textId="77777777" w:rsidR="009653D5" w:rsidRDefault="009653D5" w:rsidP="009653D5">
            <w:pPr>
              <w:spacing w:before="100" w:beforeAutospacing="1" w:after="160" w:afterAutospacing="1" w:line="259" w:lineRule="auto"/>
              <w:ind w:left="360"/>
              <w:contextualSpacing/>
              <w:rPr>
                <w:b/>
                <w:color w:val="000000"/>
                <w:sz w:val="28"/>
                <w:szCs w:val="28"/>
                <w:lang w:eastAsia="es-PR"/>
              </w:rPr>
            </w:pPr>
            <w:hyperlink r:id="rId10" w:history="1">
              <w:r w:rsidRPr="009653D5">
                <w:rPr>
                  <w:b/>
                  <w:color w:val="0563C1"/>
                  <w:sz w:val="28"/>
                  <w:szCs w:val="28"/>
                  <w:u w:val="single"/>
                  <w:lang w:eastAsia="es-PR"/>
                </w:rPr>
                <w:t>msantos@vbcoop.com</w:t>
              </w:r>
            </w:hyperlink>
          </w:p>
          <w:p w14:paraId="0D8B6340" w14:textId="24651F7F" w:rsidR="00E22BAA" w:rsidRPr="009653D5" w:rsidRDefault="00E22BAA" w:rsidP="009653D5">
            <w:pPr>
              <w:spacing w:before="100" w:beforeAutospacing="1" w:after="160" w:afterAutospacing="1" w:line="259" w:lineRule="auto"/>
              <w:ind w:left="360"/>
              <w:contextualSpacing/>
              <w:rPr>
                <w:b/>
                <w:color w:val="000000"/>
                <w:sz w:val="28"/>
                <w:szCs w:val="28"/>
                <w:lang w:eastAsia="es-PR"/>
              </w:rPr>
            </w:pPr>
            <w:r>
              <w:rPr>
                <w:b/>
                <w:color w:val="000000"/>
                <w:sz w:val="28"/>
                <w:szCs w:val="28"/>
                <w:lang w:eastAsia="es-PR"/>
              </w:rPr>
              <w:t>787-855-3442 – EXT 5002</w:t>
            </w:r>
          </w:p>
        </w:tc>
        <w:tc>
          <w:tcPr>
            <w:tcW w:w="3240" w:type="dxa"/>
          </w:tcPr>
          <w:p w14:paraId="376B53C9" w14:textId="77777777" w:rsidR="009653D5" w:rsidRPr="009653D5" w:rsidRDefault="009653D5" w:rsidP="009653D5">
            <w:pPr>
              <w:spacing w:before="100" w:beforeAutospacing="1" w:after="160" w:afterAutospacing="1" w:line="259" w:lineRule="auto"/>
              <w:jc w:val="center"/>
              <w:rPr>
                <w:b/>
                <w:color w:val="000000"/>
                <w:sz w:val="28"/>
                <w:szCs w:val="28"/>
                <w:lang w:eastAsia="es-PR"/>
              </w:rPr>
            </w:pPr>
            <w:r w:rsidRPr="009653D5">
              <w:rPr>
                <w:b/>
                <w:color w:val="000000"/>
                <w:sz w:val="28"/>
                <w:szCs w:val="28"/>
                <w:lang w:eastAsia="es-PR"/>
              </w:rPr>
              <w:t>2746277</w:t>
            </w:r>
          </w:p>
        </w:tc>
      </w:tr>
      <w:tr w:rsidR="009653D5" w:rsidRPr="009653D5" w14:paraId="76DE78A1" w14:textId="77777777" w:rsidTr="008F77C1">
        <w:trPr>
          <w:trHeight w:val="648"/>
        </w:trPr>
        <w:tc>
          <w:tcPr>
            <w:tcW w:w="4860" w:type="dxa"/>
          </w:tcPr>
          <w:p w14:paraId="04A12991" w14:textId="77777777" w:rsidR="009653D5" w:rsidRPr="009653D5" w:rsidRDefault="009653D5" w:rsidP="009653D5">
            <w:pPr>
              <w:numPr>
                <w:ilvl w:val="0"/>
                <w:numId w:val="1"/>
              </w:numPr>
              <w:spacing w:before="100" w:beforeAutospacing="1" w:after="160" w:afterAutospacing="1" w:line="259" w:lineRule="auto"/>
              <w:contextualSpacing/>
              <w:rPr>
                <w:b/>
                <w:color w:val="000000"/>
                <w:sz w:val="28"/>
                <w:szCs w:val="28"/>
                <w:lang w:eastAsia="es-PR"/>
              </w:rPr>
            </w:pPr>
            <w:r w:rsidRPr="009653D5">
              <w:rPr>
                <w:b/>
                <w:color w:val="000000"/>
                <w:sz w:val="28"/>
                <w:szCs w:val="28"/>
                <w:lang w:eastAsia="es-PR"/>
              </w:rPr>
              <w:t xml:space="preserve">Rafael Pagán Padilla </w:t>
            </w:r>
          </w:p>
          <w:p w14:paraId="0C0E0CA9" w14:textId="77777777" w:rsidR="009653D5" w:rsidRDefault="009653D5" w:rsidP="009653D5">
            <w:pPr>
              <w:spacing w:before="100" w:beforeAutospacing="1" w:after="160" w:afterAutospacing="1" w:line="259" w:lineRule="auto"/>
              <w:ind w:left="360"/>
              <w:contextualSpacing/>
              <w:rPr>
                <w:b/>
                <w:color w:val="000000"/>
                <w:sz w:val="28"/>
                <w:szCs w:val="28"/>
                <w:lang w:eastAsia="es-PR"/>
              </w:rPr>
            </w:pPr>
            <w:hyperlink r:id="rId11" w:history="1">
              <w:r w:rsidRPr="009653D5">
                <w:rPr>
                  <w:b/>
                  <w:color w:val="0563C1"/>
                  <w:sz w:val="28"/>
                  <w:szCs w:val="28"/>
                  <w:u w:val="single"/>
                  <w:lang w:eastAsia="es-PR"/>
                </w:rPr>
                <w:t>rpagan@vbcoop.com</w:t>
              </w:r>
            </w:hyperlink>
          </w:p>
          <w:p w14:paraId="48018D7A" w14:textId="06C18A33" w:rsidR="00E22BAA" w:rsidRPr="009653D5" w:rsidRDefault="00E22BAA" w:rsidP="009653D5">
            <w:pPr>
              <w:spacing w:before="100" w:beforeAutospacing="1" w:after="160" w:afterAutospacing="1" w:line="259" w:lineRule="auto"/>
              <w:ind w:left="360"/>
              <w:contextualSpacing/>
              <w:rPr>
                <w:b/>
                <w:color w:val="000000"/>
                <w:sz w:val="28"/>
                <w:szCs w:val="28"/>
                <w:lang w:eastAsia="es-PR"/>
              </w:rPr>
            </w:pPr>
            <w:r>
              <w:rPr>
                <w:b/>
                <w:color w:val="000000"/>
                <w:sz w:val="28"/>
                <w:szCs w:val="28"/>
                <w:lang w:eastAsia="es-PR"/>
              </w:rPr>
              <w:t>787-855-3442 – EXT 4015</w:t>
            </w:r>
          </w:p>
        </w:tc>
        <w:tc>
          <w:tcPr>
            <w:tcW w:w="3240" w:type="dxa"/>
          </w:tcPr>
          <w:p w14:paraId="7E9D62A6" w14:textId="77777777" w:rsidR="009653D5" w:rsidRPr="009653D5" w:rsidRDefault="009653D5" w:rsidP="009653D5">
            <w:pPr>
              <w:spacing w:before="100" w:beforeAutospacing="1" w:after="160" w:afterAutospacing="1" w:line="259" w:lineRule="auto"/>
              <w:jc w:val="center"/>
              <w:rPr>
                <w:b/>
                <w:color w:val="000000"/>
                <w:sz w:val="28"/>
                <w:szCs w:val="28"/>
                <w:lang w:eastAsia="es-PR"/>
              </w:rPr>
            </w:pPr>
            <w:r w:rsidRPr="009653D5">
              <w:rPr>
                <w:b/>
                <w:color w:val="000000"/>
                <w:sz w:val="28"/>
                <w:szCs w:val="28"/>
                <w:lang w:eastAsia="es-PR"/>
              </w:rPr>
              <w:t>2746444</w:t>
            </w:r>
          </w:p>
        </w:tc>
      </w:tr>
    </w:tbl>
    <w:p w14:paraId="5F18905E" w14:textId="77777777" w:rsidR="009653D5" w:rsidRPr="0055467E" w:rsidRDefault="009653D5" w:rsidP="00E22BAA">
      <w:pPr>
        <w:rPr>
          <w:rFonts w:asciiTheme="minorHAnsi" w:hAnsiTheme="minorHAnsi" w:cs="Arial"/>
          <w:sz w:val="28"/>
          <w:szCs w:val="28"/>
        </w:rPr>
      </w:pPr>
    </w:p>
    <w:sectPr w:rsidR="009653D5" w:rsidRPr="0055467E" w:rsidSect="00911C33">
      <w:headerReference w:type="default" r:id="rId12"/>
      <w:footerReference w:type="default" r:id="rId13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6EEDF" w14:textId="77777777" w:rsidR="00FD5020" w:rsidRDefault="00FD5020" w:rsidP="005D0ABF">
      <w:r>
        <w:separator/>
      </w:r>
    </w:p>
  </w:endnote>
  <w:endnote w:type="continuationSeparator" w:id="0">
    <w:p w14:paraId="3ABE907A" w14:textId="77777777" w:rsidR="00FD5020" w:rsidRDefault="00FD5020" w:rsidP="005D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4FD45" w14:textId="6FA93368" w:rsidR="002D4E23" w:rsidRPr="0055467E" w:rsidRDefault="006F0426" w:rsidP="00CD0D5D">
    <w:pPr>
      <w:snapToGrid w:val="0"/>
      <w:spacing w:before="140"/>
      <w:ind w:left="600" w:hanging="620"/>
      <w:jc w:val="center"/>
      <w:rPr>
        <w:rFonts w:ascii="Baskerville Old Face" w:hAnsi="Baskerville Old Face" w:cs="Arial"/>
        <w:bCs/>
        <w:sz w:val="22"/>
        <w:szCs w:val="22"/>
      </w:rPr>
    </w:pPr>
    <w:r w:rsidRPr="0055467E">
      <w:rPr>
        <w:rFonts w:ascii="Baskerville Old Face" w:hAnsi="Baskerville Old Face"/>
        <w:b/>
        <w:noProof/>
        <w:sz w:val="22"/>
        <w:szCs w:val="22"/>
        <w:lang w:val="en-US"/>
      </w:rPr>
      <w:drawing>
        <wp:anchor distT="0" distB="0" distL="114300" distR="114300" simplePos="0" relativeHeight="251717632" behindDoc="1" locked="0" layoutInCell="1" allowOverlap="1" wp14:anchorId="44BE5701" wp14:editId="0C774B05">
          <wp:simplePos x="0" y="0"/>
          <wp:positionH relativeFrom="column">
            <wp:posOffset>7696200</wp:posOffset>
          </wp:positionH>
          <wp:positionV relativeFrom="paragraph">
            <wp:posOffset>99695</wp:posOffset>
          </wp:positionV>
          <wp:extent cx="809625" cy="745490"/>
          <wp:effectExtent l="0" t="0" r="9525" b="0"/>
          <wp:wrapTight wrapText="bothSides">
            <wp:wrapPolygon edited="0">
              <wp:start x="0" y="0"/>
              <wp:lineTo x="0" y="20974"/>
              <wp:lineTo x="21346" y="20974"/>
              <wp:lineTo x="21346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4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467E">
      <w:rPr>
        <w:rFonts w:ascii="Baskerville Old Face" w:hAnsi="Baskerville Old Face" w:cs="Arial"/>
        <w:bCs/>
        <w:noProof/>
        <w:sz w:val="22"/>
        <w:szCs w:val="22"/>
        <w:lang w:val="en-US"/>
      </w:rPr>
      <w:drawing>
        <wp:anchor distT="0" distB="0" distL="114300" distR="114300" simplePos="0" relativeHeight="251721728" behindDoc="1" locked="0" layoutInCell="1" allowOverlap="1" wp14:anchorId="3A2443FF" wp14:editId="7EE66741">
          <wp:simplePos x="0" y="0"/>
          <wp:positionH relativeFrom="column">
            <wp:posOffset>8524875</wp:posOffset>
          </wp:positionH>
          <wp:positionV relativeFrom="paragraph">
            <wp:posOffset>166370</wp:posOffset>
          </wp:positionV>
          <wp:extent cx="714375" cy="501650"/>
          <wp:effectExtent l="0" t="0" r="9525" b="0"/>
          <wp:wrapTight wrapText="bothSides">
            <wp:wrapPolygon edited="0">
              <wp:start x="0" y="0"/>
              <wp:lineTo x="0" y="20506"/>
              <wp:lineTo x="21312" y="20506"/>
              <wp:lineTo x="21312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50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63EC" w:rsidRPr="0055467E">
      <w:rPr>
        <w:rFonts w:ascii="Baskerville Old Face" w:hAnsi="Baskerville Old Face" w:cs="Helvetica"/>
        <w:noProof/>
        <w:color w:val="333333"/>
        <w:sz w:val="22"/>
        <w:szCs w:val="22"/>
        <w:lang w:val="en-US"/>
      </w:rPr>
      <w:drawing>
        <wp:anchor distT="0" distB="0" distL="114300" distR="114300" simplePos="0" relativeHeight="251673600" behindDoc="1" locked="0" layoutInCell="1" allowOverlap="1" wp14:anchorId="4178DADD" wp14:editId="6341FE61">
          <wp:simplePos x="0" y="0"/>
          <wp:positionH relativeFrom="column">
            <wp:posOffset>-419100</wp:posOffset>
          </wp:positionH>
          <wp:positionV relativeFrom="paragraph">
            <wp:posOffset>61595</wp:posOffset>
          </wp:positionV>
          <wp:extent cx="1743075" cy="725170"/>
          <wp:effectExtent l="0" t="0" r="9525" b="0"/>
          <wp:wrapTight wrapText="bothSides">
            <wp:wrapPolygon edited="0">
              <wp:start x="0" y="0"/>
              <wp:lineTo x="0" y="20995"/>
              <wp:lineTo x="21482" y="20995"/>
              <wp:lineTo x="21482" y="0"/>
              <wp:lineTo x="0" y="0"/>
            </wp:wrapPolygon>
          </wp:wrapTight>
          <wp:docPr id="6" name="Picture 6" descr="Logo:Corporación Pública para la Supervisión y Seguros de Cooperativas de PR (COSSE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:Corporación Pública para la Supervisión y Seguros de Cooperativas de PR (COSSEC)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667" b="20952"/>
                  <a:stretch/>
                </pic:blipFill>
                <pic:spPr bwMode="auto">
                  <a:xfrm>
                    <a:off x="0" y="0"/>
                    <a:ext cx="174307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67E" w:rsidRPr="0055467E">
      <w:rPr>
        <w:rFonts w:ascii="Baskerville Old Face" w:hAnsi="Baskerville Old Face" w:cs="Arial"/>
        <w:bCs/>
        <w:sz w:val="22"/>
        <w:szCs w:val="22"/>
      </w:rPr>
      <w:t xml:space="preserve">     </w:t>
    </w:r>
    <w:r w:rsidR="00CD0D5D" w:rsidRPr="0055467E">
      <w:rPr>
        <w:rFonts w:ascii="Baskerville Old Face" w:hAnsi="Baskerville Old Face" w:cs="Arial"/>
        <w:bCs/>
        <w:sz w:val="22"/>
        <w:szCs w:val="22"/>
      </w:rPr>
      <w:t xml:space="preserve">Nuestros depósitos y acciones están asegurados por COSSEC hasta $250,000.  </w:t>
    </w:r>
  </w:p>
  <w:p w14:paraId="5BAAA0AF" w14:textId="58171646" w:rsidR="005D0ABF" w:rsidRPr="0055467E" w:rsidRDefault="0055467E" w:rsidP="00CD0D5D">
    <w:pPr>
      <w:snapToGrid w:val="0"/>
      <w:spacing w:before="140"/>
      <w:ind w:left="600" w:hanging="620"/>
      <w:jc w:val="center"/>
      <w:rPr>
        <w:rFonts w:ascii="Baskerville Old Face" w:hAnsi="Baskerville Old Face"/>
        <w:sz w:val="22"/>
        <w:szCs w:val="22"/>
        <w:lang w:val="es-ES_tradnl"/>
      </w:rPr>
    </w:pPr>
    <w:r>
      <w:rPr>
        <w:rFonts w:ascii="Baskerville Old Face" w:hAnsi="Baskerville Old Face" w:cs="Arial"/>
        <w:bCs/>
        <w:sz w:val="22"/>
        <w:szCs w:val="22"/>
      </w:rPr>
      <w:t>El Gobierno F</w:t>
    </w:r>
    <w:r w:rsidR="00CD0D5D" w:rsidRPr="0055467E">
      <w:rPr>
        <w:rFonts w:ascii="Baskerville Old Face" w:hAnsi="Baskerville Old Face" w:cs="Arial"/>
        <w:bCs/>
        <w:sz w:val="22"/>
        <w:szCs w:val="22"/>
      </w:rPr>
      <w:t xml:space="preserve">ederal no asegura esta Institución.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74D07" w14:textId="77777777" w:rsidR="00FD5020" w:rsidRDefault="00FD5020" w:rsidP="005D0ABF">
      <w:r>
        <w:separator/>
      </w:r>
    </w:p>
  </w:footnote>
  <w:footnote w:type="continuationSeparator" w:id="0">
    <w:p w14:paraId="1C96E7A8" w14:textId="77777777" w:rsidR="00FD5020" w:rsidRDefault="00FD5020" w:rsidP="005D0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AA4A3" w14:textId="0E81CBE4" w:rsidR="009E399E" w:rsidRDefault="009E399E" w:rsidP="009E399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center" w:pos="6840"/>
        <w:tab w:val="left" w:pos="7200"/>
        <w:tab w:val="left" w:pos="7920"/>
        <w:tab w:val="left" w:pos="8640"/>
        <w:tab w:val="left" w:pos="9360"/>
        <w:tab w:val="left" w:pos="10080"/>
        <w:tab w:val="left" w:pos="12420"/>
      </w:tabs>
      <w:rPr>
        <w:rFonts w:asciiTheme="majorHAnsi" w:hAnsiTheme="majorHAnsi"/>
        <w:b/>
        <w:sz w:val="32"/>
        <w:szCs w:val="32"/>
      </w:rPr>
    </w:pPr>
    <w:r>
      <w:rPr>
        <w:rFonts w:asciiTheme="majorHAnsi" w:hAnsiTheme="majorHAnsi"/>
        <w:b/>
        <w:noProof/>
        <w:lang w:val="en-US"/>
      </w:rPr>
      <w:drawing>
        <wp:anchor distT="0" distB="0" distL="114300" distR="114300" simplePos="0" relativeHeight="251687936" behindDoc="1" locked="0" layoutInCell="1" allowOverlap="1" wp14:anchorId="652A5396" wp14:editId="3AA38D00">
          <wp:simplePos x="0" y="0"/>
          <wp:positionH relativeFrom="margin">
            <wp:posOffset>1657350</wp:posOffset>
          </wp:positionH>
          <wp:positionV relativeFrom="paragraph">
            <wp:posOffset>-320040</wp:posOffset>
          </wp:positionV>
          <wp:extent cx="2740025" cy="742315"/>
          <wp:effectExtent l="0" t="0" r="3175" b="635"/>
          <wp:wrapTight wrapText="bothSides">
            <wp:wrapPolygon edited="0">
              <wp:start x="0" y="0"/>
              <wp:lineTo x="0" y="21064"/>
              <wp:lineTo x="21475" y="21064"/>
              <wp:lineTo x="2147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0025" cy="742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21DC07" w14:textId="64CC2CD5" w:rsidR="005D0ABF" w:rsidRPr="009E399E" w:rsidRDefault="005D0ABF" w:rsidP="009E399E">
    <w:pPr>
      <w:pStyle w:val="Header"/>
      <w:tabs>
        <w:tab w:val="clear" w:pos="4680"/>
        <w:tab w:val="clear" w:pos="9360"/>
        <w:tab w:val="left" w:pos="7536"/>
      </w:tabs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4728E"/>
    <w:multiLevelType w:val="hybridMultilevel"/>
    <w:tmpl w:val="D06447F6"/>
    <w:lvl w:ilvl="0" w:tplc="5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271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841"/>
    <w:rsid w:val="0001249C"/>
    <w:rsid w:val="00031265"/>
    <w:rsid w:val="000763EC"/>
    <w:rsid w:val="0008795C"/>
    <w:rsid w:val="00110BA0"/>
    <w:rsid w:val="00112275"/>
    <w:rsid w:val="00183834"/>
    <w:rsid w:val="0019751C"/>
    <w:rsid w:val="00273398"/>
    <w:rsid w:val="002D0728"/>
    <w:rsid w:val="002D358A"/>
    <w:rsid w:val="002D4E23"/>
    <w:rsid w:val="002E77A5"/>
    <w:rsid w:val="003004E0"/>
    <w:rsid w:val="00310BF6"/>
    <w:rsid w:val="00361567"/>
    <w:rsid w:val="0036622F"/>
    <w:rsid w:val="003778F4"/>
    <w:rsid w:val="003A6BAC"/>
    <w:rsid w:val="003C214F"/>
    <w:rsid w:val="003D2CF0"/>
    <w:rsid w:val="003D54DA"/>
    <w:rsid w:val="003E3874"/>
    <w:rsid w:val="004164BB"/>
    <w:rsid w:val="004455C6"/>
    <w:rsid w:val="00445F72"/>
    <w:rsid w:val="0051799D"/>
    <w:rsid w:val="00550D98"/>
    <w:rsid w:val="0055467E"/>
    <w:rsid w:val="005A323C"/>
    <w:rsid w:val="005D0ABF"/>
    <w:rsid w:val="005E0F62"/>
    <w:rsid w:val="00612CF7"/>
    <w:rsid w:val="00631D96"/>
    <w:rsid w:val="00647EC0"/>
    <w:rsid w:val="0066739C"/>
    <w:rsid w:val="00672C02"/>
    <w:rsid w:val="006F0426"/>
    <w:rsid w:val="00723F45"/>
    <w:rsid w:val="00726DF2"/>
    <w:rsid w:val="007745B2"/>
    <w:rsid w:val="007C4B0A"/>
    <w:rsid w:val="00806AC0"/>
    <w:rsid w:val="00826F21"/>
    <w:rsid w:val="008665B3"/>
    <w:rsid w:val="008851BF"/>
    <w:rsid w:val="008C0351"/>
    <w:rsid w:val="008E0382"/>
    <w:rsid w:val="008F77C1"/>
    <w:rsid w:val="00911629"/>
    <w:rsid w:val="00911C33"/>
    <w:rsid w:val="009653D5"/>
    <w:rsid w:val="009B2841"/>
    <w:rsid w:val="009B28C6"/>
    <w:rsid w:val="009E399E"/>
    <w:rsid w:val="00A47D69"/>
    <w:rsid w:val="00A77429"/>
    <w:rsid w:val="00A907E3"/>
    <w:rsid w:val="00AA2F78"/>
    <w:rsid w:val="00AA43F3"/>
    <w:rsid w:val="00AB2E7C"/>
    <w:rsid w:val="00BE4729"/>
    <w:rsid w:val="00BE71E2"/>
    <w:rsid w:val="00C05FBE"/>
    <w:rsid w:val="00C418F5"/>
    <w:rsid w:val="00C62892"/>
    <w:rsid w:val="00C634AA"/>
    <w:rsid w:val="00CB4424"/>
    <w:rsid w:val="00CD019F"/>
    <w:rsid w:val="00CD0D5D"/>
    <w:rsid w:val="00CD324D"/>
    <w:rsid w:val="00CD7FCF"/>
    <w:rsid w:val="00D33D63"/>
    <w:rsid w:val="00D53084"/>
    <w:rsid w:val="00D5329C"/>
    <w:rsid w:val="00D74ECD"/>
    <w:rsid w:val="00D84318"/>
    <w:rsid w:val="00DF5E51"/>
    <w:rsid w:val="00E22BAA"/>
    <w:rsid w:val="00E501B1"/>
    <w:rsid w:val="00E9265B"/>
    <w:rsid w:val="00E942E8"/>
    <w:rsid w:val="00F4381C"/>
    <w:rsid w:val="00FB7AE3"/>
    <w:rsid w:val="00FD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6EB05"/>
  <w15:docId w15:val="{F2498071-0CC4-4C32-B093-ECA67F82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A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ABF"/>
    <w:rPr>
      <w:rFonts w:ascii="Tahoma" w:eastAsia="Times New Roman" w:hAnsi="Tahoma" w:cs="Tahoma"/>
      <w:sz w:val="16"/>
      <w:szCs w:val="16"/>
      <w:lang w:val="es-PR"/>
    </w:rPr>
  </w:style>
  <w:style w:type="paragraph" w:styleId="Header">
    <w:name w:val="header"/>
    <w:basedOn w:val="Normal"/>
    <w:link w:val="HeaderChar"/>
    <w:uiPriority w:val="99"/>
    <w:unhideWhenUsed/>
    <w:rsid w:val="005D0A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ABF"/>
    <w:rPr>
      <w:rFonts w:ascii="Times New Roman" w:eastAsia="Times New Roman" w:hAnsi="Times New Roman" w:cs="Times New Roman"/>
      <w:sz w:val="24"/>
      <w:szCs w:val="24"/>
      <w:lang w:val="es-PR"/>
    </w:rPr>
  </w:style>
  <w:style w:type="paragraph" w:styleId="Footer">
    <w:name w:val="footer"/>
    <w:basedOn w:val="Normal"/>
    <w:link w:val="FooterChar"/>
    <w:uiPriority w:val="99"/>
    <w:unhideWhenUsed/>
    <w:rsid w:val="005D0A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ABF"/>
    <w:rPr>
      <w:rFonts w:ascii="Times New Roman" w:eastAsia="Times New Roman" w:hAnsi="Times New Roman" w:cs="Times New Roman"/>
      <w:sz w:val="24"/>
      <w:szCs w:val="24"/>
      <w:lang w:val="es-PR"/>
    </w:rPr>
  </w:style>
  <w:style w:type="table" w:styleId="TableGrid">
    <w:name w:val="Table Grid"/>
    <w:basedOn w:val="TableNormal"/>
    <w:uiPriority w:val="59"/>
    <w:rsid w:val="00E22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3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17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7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9874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87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37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feliciano@vbcoop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rroyo@vbcoop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pagan@vbcoop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santos@vbcoo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abrera@vbcoop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1298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ACT ORIGINADORES AUTORIZADOS</dc:title>
  <dc:creator>Maria Matos</dc:creator>
  <cp:lastModifiedBy>Maria M. Matos</cp:lastModifiedBy>
  <cp:revision>2</cp:revision>
  <cp:lastPrinted>2025-10-01T13:09:00Z</cp:lastPrinted>
  <dcterms:created xsi:type="dcterms:W3CDTF">2025-10-01T17:11:00Z</dcterms:created>
  <dcterms:modified xsi:type="dcterms:W3CDTF">2025-10-01T17:11:00Z</dcterms:modified>
</cp:coreProperties>
</file>